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E4" w:rsidRDefault="00F941E4" w:rsidP="00F941E4"/>
    <w:p w:rsidR="00F941E4" w:rsidRDefault="00F941E4" w:rsidP="00F941E4">
      <w:pPr>
        <w:jc w:val="both"/>
        <w:rPr>
          <w:rFonts w:ascii="Courier New" w:eastAsia="Times New Roman" w:hAnsi="Courier New" w:cs="Courier New"/>
          <w:sz w:val="31"/>
          <w:szCs w:val="31"/>
          <w:lang w:eastAsia="it-IT"/>
        </w:rPr>
      </w:pPr>
      <w:r>
        <w:t xml:space="preserve">ANATOCISMO BANCARIO: </w:t>
      </w:r>
    </w:p>
    <w:p w:rsidR="00A071E8" w:rsidRPr="00A071E8" w:rsidRDefault="00A071E8" w:rsidP="00F941E4">
      <w:pPr>
        <w:spacing w:after="0" w:line="240" w:lineRule="auto"/>
        <w:jc w:val="both"/>
        <w:rPr>
          <w:rFonts w:ascii="Courier New" w:eastAsia="Times New Roman" w:hAnsi="Courier New" w:cs="Courier New"/>
          <w:sz w:val="31"/>
          <w:szCs w:val="31"/>
          <w:lang w:eastAsia="it-IT"/>
        </w:rPr>
      </w:pPr>
      <w:r>
        <w:rPr>
          <w:rFonts w:ascii="Courier New" w:eastAsia="Times New Roman" w:hAnsi="Courier New" w:cs="Courier New"/>
          <w:sz w:val="31"/>
          <w:szCs w:val="31"/>
          <w:lang w:eastAsia="it-IT"/>
        </w:rPr>
        <w:t>Dichiarata</w:t>
      </w:r>
      <w:r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 </w:t>
      </w:r>
      <w:r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nulla </w:t>
      </w:r>
      <w:r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>la clausola di capitalizzazione trime</w:t>
      </w:r>
      <w:r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strale degli interessi passivi è </w:t>
      </w:r>
      <w:r w:rsidR="00F941E4">
        <w:rPr>
          <w:rFonts w:ascii="Courier New" w:eastAsia="Times New Roman" w:hAnsi="Courier New" w:cs="Courier New"/>
          <w:sz w:val="31"/>
          <w:szCs w:val="31"/>
          <w:lang w:eastAsia="it-IT"/>
        </w:rPr>
        <w:t>i</w:t>
      </w:r>
      <w:r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>napplicabil</w:t>
      </w:r>
      <w:r>
        <w:rPr>
          <w:rFonts w:ascii="Courier New" w:eastAsia="Times New Roman" w:hAnsi="Courier New" w:cs="Courier New"/>
          <w:sz w:val="31"/>
          <w:szCs w:val="31"/>
          <w:lang w:eastAsia="it-IT"/>
        </w:rPr>
        <w:t>e, in sostituzione,</w:t>
      </w:r>
      <w:r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 quella annuale, attesa la non retroattività dell'art. 25 del d.</w:t>
      </w:r>
      <w:r w:rsidR="00F941E4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 </w:t>
      </w:r>
      <w:proofErr w:type="spellStart"/>
      <w:r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>lgs</w:t>
      </w:r>
      <w:proofErr w:type="spellEnd"/>
      <w:r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 n. 342 del 1999 che ha integrato l'art. 120 T.U.B. nonché</w:t>
      </w:r>
      <w:r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 </w:t>
      </w:r>
      <w:r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l'orientamento costante della giurisprudenza di legittimità. </w:t>
      </w:r>
    </w:p>
    <w:p w:rsidR="002C197A" w:rsidRDefault="002C197A" w:rsidP="00A071E8"/>
    <w:p w:rsidR="00A071E8" w:rsidRDefault="00F941E4" w:rsidP="00F941E4">
      <w:pPr>
        <w:jc w:val="both"/>
        <w:rPr>
          <w:rFonts w:ascii="Courier New" w:eastAsia="Times New Roman" w:hAnsi="Courier New" w:cs="Courier New"/>
          <w:sz w:val="31"/>
          <w:szCs w:val="31"/>
          <w:lang w:eastAsia="it-IT"/>
        </w:rPr>
      </w:pPr>
      <w:r>
        <w:rPr>
          <w:rFonts w:ascii="Courier New" w:eastAsia="Times New Roman" w:hAnsi="Courier New" w:cs="Courier New"/>
          <w:sz w:val="31"/>
          <w:szCs w:val="31"/>
          <w:lang w:eastAsia="it-IT"/>
        </w:rPr>
        <w:t>Cassazione</w:t>
      </w:r>
      <w:r w:rsidR="00A071E8" w:rsidRPr="00A071E8">
        <w:t xml:space="preserve"> </w:t>
      </w:r>
      <w:r w:rsidR="00A071E8"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Civile </w:t>
      </w:r>
      <w:proofErr w:type="spellStart"/>
      <w:r w:rsidR="00A071E8"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>Sent</w:t>
      </w:r>
      <w:proofErr w:type="spellEnd"/>
      <w:r w:rsidR="00A071E8"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. Sez. 1 </w:t>
      </w:r>
      <w:proofErr w:type="spellStart"/>
      <w:r w:rsidR="00A071E8"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>Num</w:t>
      </w:r>
      <w:proofErr w:type="spellEnd"/>
      <w:r w:rsidR="00A071E8"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>. 13861 Anno 2016</w:t>
      </w:r>
      <w:r w:rsidR="00A071E8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 del 7.7.16.</w:t>
      </w:r>
    </w:p>
    <w:p w:rsidR="00A071E8" w:rsidRDefault="00A071E8" w:rsidP="00A071E8">
      <w:pPr>
        <w:rPr>
          <w:rFonts w:ascii="Courier New" w:eastAsia="Times New Roman" w:hAnsi="Courier New" w:cs="Courier New"/>
          <w:sz w:val="31"/>
          <w:szCs w:val="31"/>
          <w:lang w:eastAsia="it-IT"/>
        </w:rPr>
      </w:pPr>
    </w:p>
    <w:p w:rsidR="00A071E8" w:rsidRPr="00A071E8" w:rsidRDefault="00F941E4" w:rsidP="00F941E4">
      <w:pPr>
        <w:spacing w:after="0" w:line="240" w:lineRule="auto"/>
        <w:jc w:val="both"/>
        <w:rPr>
          <w:rFonts w:ascii="Courier New" w:eastAsia="Times New Roman" w:hAnsi="Courier New" w:cs="Courier New"/>
          <w:sz w:val="31"/>
          <w:szCs w:val="31"/>
          <w:lang w:eastAsia="it-IT"/>
        </w:rPr>
      </w:pPr>
      <w:r>
        <w:rPr>
          <w:rFonts w:ascii="Courier New" w:eastAsia="Times New Roman" w:hAnsi="Courier New" w:cs="Courier New"/>
          <w:sz w:val="31"/>
          <w:szCs w:val="31"/>
          <w:lang w:eastAsia="it-IT"/>
        </w:rPr>
        <w:t>Con la sentenza citata la Suprema Corte ribadisce quanto</w:t>
      </w:r>
      <w:r w:rsidR="007D2945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 da ultimo affermato da </w:t>
      </w:r>
      <w:proofErr w:type="spellStart"/>
      <w:r w:rsidR="007D2945">
        <w:rPr>
          <w:rFonts w:ascii="Courier New" w:eastAsia="Times New Roman" w:hAnsi="Courier New" w:cs="Courier New"/>
          <w:sz w:val="31"/>
          <w:szCs w:val="31"/>
          <w:lang w:eastAsia="it-IT"/>
        </w:rPr>
        <w:t>Cass</w:t>
      </w:r>
      <w:proofErr w:type="spellEnd"/>
      <w:r w:rsidR="007D2945">
        <w:rPr>
          <w:rFonts w:ascii="Courier New" w:eastAsia="Times New Roman" w:hAnsi="Courier New" w:cs="Courier New"/>
          <w:sz w:val="31"/>
          <w:szCs w:val="31"/>
          <w:lang w:eastAsia="it-IT"/>
        </w:rPr>
        <w:t>. 15135 del 2014, ove</w:t>
      </w:r>
      <w:r w:rsidR="00A071E8" w:rsidRPr="00A071E8">
        <w:rPr>
          <w:rFonts w:ascii="Courier New" w:eastAsia="Times New Roman" w:hAnsi="Courier New" w:cs="Courier New"/>
          <w:sz w:val="31"/>
          <w:szCs w:val="31"/>
          <w:lang w:eastAsia="it-IT"/>
        </w:rPr>
        <w:t xml:space="preserve">: </w:t>
      </w:r>
    </w:p>
    <w:p w:rsidR="00A071E8" w:rsidRPr="00A071E8" w:rsidRDefault="00A071E8" w:rsidP="00F941E4">
      <w:pPr>
        <w:spacing w:after="0" w:line="240" w:lineRule="auto"/>
        <w:jc w:val="both"/>
        <w:rPr>
          <w:rFonts w:ascii="Courier New" w:eastAsia="Times New Roman" w:hAnsi="Courier New" w:cs="Courier New"/>
          <w:i/>
          <w:sz w:val="31"/>
          <w:szCs w:val="31"/>
          <w:lang w:eastAsia="it-IT"/>
        </w:rPr>
      </w:pPr>
      <w:r w:rsidRPr="00A071E8">
        <w:rPr>
          <w:rFonts w:ascii="Courier New" w:eastAsia="Times New Roman" w:hAnsi="Courier New" w:cs="Courier New"/>
          <w:i/>
          <w:sz w:val="31"/>
          <w:szCs w:val="31"/>
          <w:lang w:eastAsia="it-IT"/>
        </w:rPr>
        <w:t xml:space="preserve">"le Sezioni unite di questa Corte hanno già avuto modo di ritenere </w:t>
      </w:r>
      <w:r w:rsidRPr="007D2945">
        <w:rPr>
          <w:rFonts w:ascii="Courier New" w:eastAsia="Times New Roman" w:hAnsi="Courier New" w:cs="Courier New"/>
          <w:b/>
          <w:i/>
          <w:sz w:val="31"/>
          <w:szCs w:val="31"/>
          <w:lang w:eastAsia="it-IT"/>
        </w:rPr>
        <w:t>erronea la tesi secondo cui le ragioni di nullità</w:t>
      </w:r>
      <w:r w:rsidR="00F941E4" w:rsidRPr="007D2945">
        <w:rPr>
          <w:rFonts w:ascii="Courier New" w:eastAsia="Times New Roman" w:hAnsi="Courier New" w:cs="Courier New"/>
          <w:b/>
          <w:i/>
          <w:sz w:val="31"/>
          <w:szCs w:val="31"/>
          <w:lang w:eastAsia="it-IT"/>
        </w:rPr>
        <w:t xml:space="preserve"> </w:t>
      </w:r>
      <w:r w:rsidRPr="007D2945">
        <w:rPr>
          <w:rFonts w:ascii="Courier New" w:eastAsia="Times New Roman" w:hAnsi="Courier New" w:cs="Courier New"/>
          <w:b/>
          <w:i/>
          <w:sz w:val="31"/>
          <w:szCs w:val="31"/>
          <w:lang w:eastAsia="it-IT"/>
        </w:rPr>
        <w:t>individuate dalla giurisprudenza di legittimità per le clausole di capitalizzazione degli interessi debitori registrati in conto corrente investirebbero solo il profilo della loro periodizzazione trimestrale</w:t>
      </w:r>
      <w:bookmarkStart w:id="0" w:name="_GoBack"/>
      <w:bookmarkEnd w:id="0"/>
      <w:r w:rsidRPr="00A071E8">
        <w:rPr>
          <w:rFonts w:ascii="Courier New" w:eastAsia="Times New Roman" w:hAnsi="Courier New" w:cs="Courier New"/>
          <w:i/>
          <w:sz w:val="31"/>
          <w:szCs w:val="31"/>
          <w:lang w:eastAsia="it-IT"/>
        </w:rPr>
        <w:t xml:space="preserve">. Detta giurisprudenza ha, infatti, escluso di poter ravvisare un uso normativo atto a giustificare nel settore bancario, una deroga ai limiti posti all'anatocismo dall'art. 1283 cod. civ. per difetto del requisito di "normatività" di tale pratica. Ne discende che è erroneo trarre la conseguenza che, nel negare l'esistenza di usi normativi di capitalizzazione trimestrale degli interessi debitori, quella medesima giurisprudenza, avrebbe riconosciuto (implicitamente o esplicitamente) la presenza di usi normativi di capitalizzazione annuale a cui invece vanno applicati </w:t>
      </w:r>
    </w:p>
    <w:p w:rsidR="00A071E8" w:rsidRPr="00A071E8" w:rsidRDefault="00A071E8" w:rsidP="00F941E4">
      <w:pPr>
        <w:spacing w:after="0" w:line="240" w:lineRule="auto"/>
        <w:jc w:val="both"/>
        <w:rPr>
          <w:rFonts w:ascii="Courier New" w:eastAsia="Times New Roman" w:hAnsi="Courier New" w:cs="Courier New"/>
          <w:i/>
          <w:sz w:val="31"/>
          <w:szCs w:val="31"/>
          <w:lang w:eastAsia="it-IT"/>
        </w:rPr>
      </w:pPr>
      <w:r w:rsidRPr="00A071E8">
        <w:rPr>
          <w:rFonts w:ascii="Courier New" w:eastAsia="Times New Roman" w:hAnsi="Courier New" w:cs="Courier New"/>
          <w:i/>
          <w:sz w:val="31"/>
          <w:szCs w:val="31"/>
          <w:lang w:eastAsia="it-IT"/>
        </w:rPr>
        <w:t>gli stessi principi in tema di capitalizzazione trimestrale (</w:t>
      </w:r>
      <w:proofErr w:type="spellStart"/>
      <w:r w:rsidRPr="00A071E8">
        <w:rPr>
          <w:rFonts w:ascii="Courier New" w:eastAsia="Times New Roman" w:hAnsi="Courier New" w:cs="Courier New"/>
          <w:i/>
          <w:sz w:val="31"/>
          <w:szCs w:val="31"/>
          <w:lang w:eastAsia="it-IT"/>
        </w:rPr>
        <w:t>Cass</w:t>
      </w:r>
      <w:proofErr w:type="spellEnd"/>
      <w:r w:rsidRPr="00A071E8">
        <w:rPr>
          <w:rFonts w:ascii="Courier New" w:eastAsia="Times New Roman" w:hAnsi="Courier New" w:cs="Courier New"/>
          <w:i/>
          <w:sz w:val="31"/>
          <w:szCs w:val="31"/>
          <w:lang w:eastAsia="it-IT"/>
        </w:rPr>
        <w:t>. sez. un. 24418 del</w:t>
      </w:r>
      <w:r w:rsidR="00F941E4" w:rsidRPr="00F941E4">
        <w:rPr>
          <w:rFonts w:ascii="Courier New" w:eastAsia="Times New Roman" w:hAnsi="Courier New" w:cs="Courier New"/>
          <w:i/>
          <w:sz w:val="31"/>
          <w:szCs w:val="31"/>
          <w:lang w:eastAsia="it-IT"/>
        </w:rPr>
        <w:t xml:space="preserve"> </w:t>
      </w:r>
      <w:r w:rsidRPr="00A071E8">
        <w:rPr>
          <w:rFonts w:ascii="Courier New" w:eastAsia="Times New Roman" w:hAnsi="Courier New" w:cs="Courier New"/>
          <w:i/>
          <w:sz w:val="31"/>
          <w:szCs w:val="31"/>
          <w:lang w:eastAsia="it-IT"/>
        </w:rPr>
        <w:t>2010)</w:t>
      </w:r>
      <w:r w:rsidR="00F941E4" w:rsidRPr="00F941E4">
        <w:rPr>
          <w:rFonts w:ascii="Courier New" w:eastAsia="Times New Roman" w:hAnsi="Courier New" w:cs="Courier New"/>
          <w:i/>
          <w:sz w:val="31"/>
          <w:szCs w:val="31"/>
          <w:lang w:eastAsia="it-IT"/>
        </w:rPr>
        <w:t>”</w:t>
      </w:r>
      <w:r w:rsidRPr="00A071E8">
        <w:rPr>
          <w:rFonts w:ascii="Courier New" w:eastAsia="Times New Roman" w:hAnsi="Courier New" w:cs="Courier New"/>
          <w:i/>
          <w:sz w:val="31"/>
          <w:szCs w:val="31"/>
          <w:lang w:eastAsia="it-IT"/>
        </w:rPr>
        <w:t xml:space="preserve">. </w:t>
      </w:r>
    </w:p>
    <w:p w:rsidR="00A071E8" w:rsidRPr="00A071E8" w:rsidRDefault="00A071E8" w:rsidP="00F941E4">
      <w:pPr>
        <w:jc w:val="both"/>
      </w:pPr>
    </w:p>
    <w:sectPr w:rsidR="00A071E8" w:rsidRPr="00A07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E8"/>
    <w:rsid w:val="002C197A"/>
    <w:rsid w:val="007D2945"/>
    <w:rsid w:val="00A071E8"/>
    <w:rsid w:val="00F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47C7"/>
  <w15:chartTrackingRefBased/>
  <w15:docId w15:val="{851837D9-31F0-4BD8-9F21-DD299D5F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2017-07-04T17:20:00Z</dcterms:created>
  <dcterms:modified xsi:type="dcterms:W3CDTF">2017-07-08T08:13:00Z</dcterms:modified>
</cp:coreProperties>
</file>